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bidi w:val="0"/>
        <w:spacing w:before="240" w:after="120"/>
        <w:ind w:hanging="0" w:start="0"/>
        <w:jc w:val="start"/>
        <w:rPr/>
      </w:pPr>
      <w:r>
        <w:rPr>
          <w:lang w:val="ru-RU"/>
        </w:rPr>
        <w:t xml:space="preserve">Инструкция по работе с компонентами </w:t>
      </w:r>
      <w:r>
        <w:rPr>
          <w:lang w:val="ru-RU"/>
        </w:rPr>
        <w:t>скрытых ригелей</w:t>
      </w:r>
      <w:r>
        <w:rPr>
          <w:lang w:val="ru-RU"/>
        </w:rPr>
        <w:t xml:space="preserve"> 2.02.01-КМ</w:t>
      </w:r>
    </w:p>
    <w:p>
      <w:pPr>
        <w:pStyle w:val="Heading2"/>
        <w:numPr>
          <w:ilvl w:val="1"/>
          <w:numId w:val="2"/>
        </w:numPr>
        <w:bidi w:val="0"/>
        <w:ind w:hanging="0" w:start="0"/>
        <w:jc w:val="start"/>
        <w:rPr/>
      </w:pPr>
      <w:r>
        <w:rPr/>
        <w:t xml:space="preserve">1. </w:t>
      </w:r>
      <w:r>
        <w:rPr>
          <w:lang w:val="ru-RU"/>
        </w:rPr>
        <w:t xml:space="preserve">Поддерживаемые версии </w:t>
      </w:r>
      <w:r>
        <w:rPr/>
        <w:t>Tekla Structures</w:t>
      </w:r>
    </w:p>
    <w:p>
      <w:pPr>
        <w:pStyle w:val="BodyText"/>
        <w:bidi w:val="0"/>
        <w:jc w:val="start"/>
        <w:rPr>
          <w:lang w:val="ru-RU"/>
        </w:rPr>
      </w:pPr>
      <w:r>
        <w:rPr>
          <w:lang w:val="ru-RU"/>
        </w:rPr>
        <w:t xml:space="preserve">Компоненты совместимы </w:t>
      </w:r>
      <w:r>
        <w:rPr>
          <w:lang w:val="en-US"/>
        </w:rPr>
        <w:t xml:space="preserve">Tekla Structures </w:t>
      </w:r>
      <w:r>
        <w:rPr>
          <w:lang w:val="ru-RU"/>
        </w:rPr>
        <w:t xml:space="preserve">начиная с версии </w:t>
      </w:r>
      <w:r>
        <w:rPr>
          <w:b/>
          <w:bCs/>
          <w:lang w:val="ru-RU"/>
        </w:rPr>
        <w:t>2016</w:t>
      </w:r>
      <w:r>
        <w:rPr>
          <w:b/>
          <w:bCs/>
          <w:lang w:val="en-US"/>
        </w:rPr>
        <w:t>i</w:t>
      </w:r>
      <w:r>
        <w:rPr>
          <w:lang w:val="en-US"/>
        </w:rPr>
        <w:t xml:space="preserve"> </w:t>
      </w:r>
      <w:r>
        <w:rPr>
          <w:lang w:val="ru-RU"/>
        </w:rPr>
        <w:t xml:space="preserve">и до </w:t>
      </w:r>
      <w:r>
        <w:rPr>
          <w:b/>
          <w:bCs/>
          <w:lang w:val="ru-RU"/>
        </w:rPr>
        <w:t xml:space="preserve">2023. </w:t>
      </w:r>
      <w:r>
        <w:rPr>
          <w:b w:val="false"/>
          <w:bCs w:val="false"/>
          <w:lang w:val="ru-RU"/>
        </w:rPr>
        <w:t>Версия 2024 не тестировалась, но должна поддерживаться.</w:t>
      </w:r>
    </w:p>
    <w:p>
      <w:pPr>
        <w:pStyle w:val="BodyText"/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>Компоненты работают следующих средах:</w:t>
      </w:r>
    </w:p>
    <w:p>
      <w:pPr>
        <w:pStyle w:val="BodyText"/>
        <w:numPr>
          <w:ilvl w:val="0"/>
          <w:numId w:val="3"/>
        </w:numPr>
        <w:bidi w:val="0"/>
        <w:jc w:val="start"/>
        <w:rPr>
          <w:lang w:val="en-US"/>
        </w:rPr>
      </w:pPr>
      <w:r>
        <w:rPr>
          <w:b/>
          <w:bCs/>
          <w:lang w:val="en-US"/>
        </w:rPr>
        <w:t>Russia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 xml:space="preserve">для версий </w:t>
      </w:r>
      <w:r>
        <w:rPr>
          <w:b w:val="false"/>
          <w:bCs w:val="false"/>
          <w:lang w:val="en-US"/>
        </w:rPr>
        <w:t xml:space="preserve">Tekla </w:t>
      </w:r>
      <w:r>
        <w:rPr>
          <w:b w:val="false"/>
          <w:bCs w:val="false"/>
          <w:lang w:val="ru-RU"/>
        </w:rPr>
        <w:t xml:space="preserve">с </w:t>
      </w:r>
      <w:r>
        <w:rPr>
          <w:b w:val="false"/>
          <w:bCs w:val="false"/>
          <w:lang w:val="en-US"/>
        </w:rPr>
        <w:t xml:space="preserve">2016i </w:t>
      </w:r>
      <w:r>
        <w:rPr>
          <w:b w:val="false"/>
          <w:bCs w:val="false"/>
          <w:lang w:val="ru-RU"/>
        </w:rPr>
        <w:t>до 2021</w:t>
      </w:r>
    </w:p>
    <w:p>
      <w:pPr>
        <w:pStyle w:val="BodyText"/>
        <w:numPr>
          <w:ilvl w:val="0"/>
          <w:numId w:val="3"/>
        </w:numPr>
        <w:bidi w:val="0"/>
        <w:jc w:val="start"/>
        <w:rPr/>
      </w:pPr>
      <w:r>
        <w:rPr>
          <w:b/>
          <w:bCs/>
          <w:lang w:val="en-US"/>
        </w:rPr>
        <w:t>GOST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 xml:space="preserve">для версий </w:t>
      </w:r>
      <w:r>
        <w:rPr>
          <w:b w:val="false"/>
          <w:bCs w:val="false"/>
          <w:lang w:val="en-US"/>
        </w:rPr>
        <w:t xml:space="preserve">Tekla 2022, </w:t>
      </w:r>
      <w:r>
        <w:rPr>
          <w:b w:val="false"/>
          <w:bCs w:val="false"/>
          <w:lang w:val="ru-RU"/>
        </w:rPr>
        <w:t>2023</w:t>
      </w:r>
    </w:p>
    <w:p>
      <w:pPr>
        <w:pStyle w:val="BodyText"/>
        <w:numPr>
          <w:ilvl w:val="0"/>
          <w:numId w:val="3"/>
        </w:numPr>
        <w:bidi w:val="0"/>
        <w:jc w:val="start"/>
        <w:rPr/>
      </w:pPr>
      <w:r>
        <w:rPr>
          <w:b w:val="false"/>
          <w:bCs w:val="false"/>
          <w:lang w:val="ru-RU"/>
        </w:rPr>
        <w:t>В других средах при условии наличия в среде необходимых сортаментов, см. раздел 1.1.</w:t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/>
      </w:pPr>
      <w:r>
        <w:rPr/>
        <w:t>1.1. Необходимые сортаменты</w:t>
      </w:r>
    </w:p>
    <w:p>
      <w:pPr>
        <w:pStyle w:val="BodyText"/>
        <w:numPr>
          <w:ilvl w:val="0"/>
          <w:numId w:val="4"/>
        </w:numPr>
        <w:bidi w:val="0"/>
        <w:jc w:val="start"/>
        <w:rPr/>
      </w:pPr>
      <w:r>
        <w:rPr/>
        <w:t xml:space="preserve">Для версии </w:t>
      </w:r>
      <w:r>
        <w:rPr>
          <w:b/>
          <w:bCs/>
          <w:lang w:val="en-US"/>
        </w:rPr>
        <w:t>Tekla 2018</w:t>
      </w:r>
      <w:r>
        <w:rPr>
          <w:lang w:val="en-US"/>
        </w:rPr>
        <w:t xml:space="preserve"> </w:t>
      </w:r>
      <w:r>
        <w:rPr>
          <w:lang w:val="ru-RU"/>
        </w:rPr>
        <w:t xml:space="preserve">и позднее при использовании сред </w:t>
      </w:r>
      <w:r>
        <w:rPr>
          <w:b/>
          <w:bCs/>
          <w:lang w:val="en-US"/>
        </w:rPr>
        <w:t>Russia</w:t>
      </w:r>
      <w:r>
        <w:rPr>
          <w:lang w:val="en-US"/>
        </w:rPr>
        <w:t xml:space="preserve"> </w:t>
      </w:r>
      <w:r>
        <w:rPr>
          <w:lang w:val="ru-RU"/>
        </w:rPr>
        <w:t xml:space="preserve">и </w:t>
      </w:r>
      <w:r>
        <w:rPr>
          <w:b/>
          <w:bCs/>
          <w:lang w:val="en-US"/>
        </w:rPr>
        <w:t>GOST</w:t>
      </w:r>
      <w:r>
        <w:rPr>
          <w:lang w:val="en-US"/>
        </w:rPr>
        <w:t xml:space="preserve"> </w:t>
      </w:r>
      <w:r>
        <w:rPr>
          <w:lang w:val="ru-RU"/>
        </w:rPr>
        <w:t>все необходимые для работы компонентов сортаменты предустановлены в среду.</w:t>
      </w:r>
    </w:p>
    <w:p>
      <w:pPr>
        <w:pStyle w:val="BodyText"/>
        <w:numPr>
          <w:ilvl w:val="0"/>
          <w:numId w:val="4"/>
        </w:numPr>
        <w:bidi w:val="0"/>
        <w:jc w:val="start"/>
        <w:rPr/>
      </w:pPr>
      <w:r>
        <w:rPr>
          <w:lang w:val="ru-RU"/>
        </w:rPr>
        <w:t>Для версии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 xml:space="preserve">Tekla 2016i </w:t>
      </w:r>
      <w:r>
        <w:rPr>
          <w:b w:val="false"/>
          <w:bCs w:val="false"/>
          <w:lang w:val="ru-RU"/>
        </w:rPr>
        <w:t>требуется установка сортаментов: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ru-RU"/>
        </w:rPr>
        <w:t xml:space="preserve">Двутавры по ГОСТ Р 57837-2017.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"/catalog/details/1081e1ab-e4fc-4d61-9986-f3b63ee816a7"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ru-RU"/>
        </w:rPr>
        <w:t xml:space="preserve">Трубы гнутосварные по </w:t>
      </w:r>
      <w:r>
        <w:rPr>
          <w:b w:val="false"/>
          <w:bCs w:val="false"/>
        </w:rPr>
        <w:t xml:space="preserve">ГОСТ 30245-2003.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"/catalog/details/2eb85e03-1332-468d-9e24-53865ce663b3"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  <w:r>
        <w:rPr>
          <w:b w:val="false"/>
          <w:bCs w:val="false"/>
          <w:lang w:val="en-US"/>
        </w:rPr>
        <w:t xml:space="preserve">. </w:t>
      </w:r>
      <w:r>
        <w:rPr>
          <w:b w:val="false"/>
          <w:bCs w:val="false"/>
          <w:lang w:val="ru-RU"/>
        </w:rPr>
        <w:t>Этот сортамент необходимо объединить с существующим.</w:t>
      </w:r>
    </w:p>
    <w:p>
      <w:pPr>
        <w:pStyle w:val="BodyText"/>
        <w:numPr>
          <w:ilvl w:val="0"/>
          <w:numId w:val="4"/>
        </w:numPr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Для версий  </w:t>
      </w:r>
      <w:r>
        <w:rPr>
          <w:b/>
          <w:bCs/>
          <w:lang w:val="en-US"/>
        </w:rPr>
        <w:t>Tekla 201</w:t>
      </w:r>
      <w:r>
        <w:rPr>
          <w:b/>
          <w:bCs/>
          <w:lang w:val="ru-RU"/>
        </w:rPr>
        <w:t>7 и 2017</w:t>
      </w:r>
      <w:r>
        <w:rPr>
          <w:b/>
          <w:bCs/>
          <w:lang w:val="en-US"/>
        </w:rPr>
        <w:t xml:space="preserve">i </w:t>
      </w:r>
      <w:r>
        <w:rPr>
          <w:b w:val="false"/>
          <w:bCs w:val="false"/>
          <w:lang w:val="ru-RU"/>
        </w:rPr>
        <w:t>требуется установка сортаментов</w:t>
      </w:r>
      <w:r>
        <w:rPr>
          <w:b w:val="false"/>
          <w:bCs w:val="false"/>
          <w:lang w:val="en-US"/>
        </w:rPr>
        <w:t>: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</w:rPr>
        <w:t xml:space="preserve">Двутавры по ГОСТ Р 57837-2017. </w:t>
      </w:r>
      <w:r>
        <w:fldChar w:fldCharType="begin"/>
      </w:r>
      <w:r>
        <w:rPr>
          <w:rStyle w:val="Hyperlink"/>
          <w:b w:val="false"/>
          <w:bCs w:val="false"/>
        </w:rPr>
        <w:instrText xml:space="preserve"> HYPERLINK "https://warehouse.tekla.com/" \l "/catalog/details/1081e1ab-e4fc-4d61-9986-f3b63ee816a7"</w:instrText>
      </w:r>
      <w:r>
        <w:rPr>
          <w:rStyle w:val="Hyperlink"/>
          <w:b w:val="false"/>
          <w:bCs w:val="false"/>
        </w:rPr>
        <w:fldChar w:fldCharType="separate"/>
      </w:r>
      <w:r>
        <w:rPr>
          <w:rStyle w:val="Hyperlink"/>
          <w:b w:val="false"/>
          <w:bCs w:val="false"/>
        </w:rPr>
        <w:t xml:space="preserve">Ссылка на </w:t>
      </w:r>
      <w:r>
        <w:rPr>
          <w:rStyle w:val="Hyperlink"/>
          <w:b w:val="false"/>
          <w:bCs w:val="false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0"/>
          <w:numId w:val="4"/>
        </w:numPr>
        <w:bidi w:val="0"/>
        <w:jc w:val="start"/>
        <w:rPr>
          <w:lang w:val="ru-RU"/>
        </w:rPr>
      </w:pPr>
      <w:r>
        <w:rPr>
          <w:b/>
          <w:bCs/>
          <w:lang w:val="ru-RU"/>
        </w:rPr>
        <w:t>Для других сред</w:t>
      </w:r>
      <w:r>
        <w:rPr>
          <w:b w:val="false"/>
          <w:bCs w:val="false"/>
          <w:lang w:val="ru-RU"/>
        </w:rPr>
        <w:t xml:space="preserve"> требуется установка сортаментов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ru-RU"/>
        </w:rPr>
        <w:t xml:space="preserve">Двутавры по ГОСТ Р 57837-2017.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"/catalog/details/1081e1ab-e4fc-4d61-9986-f3b63ee816a7"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</w:rPr>
        <w:t xml:space="preserve">Трубы гнутосварные по ГОСТ 30245-2003. </w:t>
      </w:r>
      <w:r>
        <w:fldChar w:fldCharType="begin"/>
      </w:r>
      <w:r>
        <w:rPr>
          <w:rStyle w:val="Hyperlink"/>
          <w:b w:val="false"/>
          <w:bCs w:val="false"/>
        </w:rPr>
        <w:instrText xml:space="preserve"> HYPERLINK "https://warehouse.tekla.com/" \l "/catalog/details/2eb85e03-1332-468d-9e24-53865ce663b3"</w:instrText>
      </w:r>
      <w:r>
        <w:rPr>
          <w:rStyle w:val="Hyperlink"/>
          <w:b w:val="false"/>
          <w:bCs w:val="false"/>
        </w:rPr>
        <w:fldChar w:fldCharType="separate"/>
      </w:r>
      <w:r>
        <w:rPr>
          <w:rStyle w:val="Hyperlink"/>
          <w:b w:val="false"/>
          <w:bCs w:val="false"/>
        </w:rPr>
        <w:t xml:space="preserve">Ссылка на </w:t>
      </w:r>
      <w:r>
        <w:rPr>
          <w:rStyle w:val="Hyperlink"/>
          <w:b w:val="false"/>
          <w:bCs w:val="false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en-US"/>
        </w:rPr>
        <w:t xml:space="preserve">Трубы гнутосварные </w:t>
      </w:r>
      <w:r>
        <w:rPr>
          <w:b w:val="false"/>
          <w:bCs w:val="false"/>
          <w:lang w:val="ru-RU"/>
        </w:rPr>
        <w:t xml:space="preserve">прямоугольные по </w:t>
      </w:r>
      <w:r>
        <w:rPr>
          <w:b w:val="false"/>
          <w:bCs w:val="false"/>
          <w:lang w:val="en-US"/>
        </w:rPr>
        <w:t xml:space="preserve">ГОСТ 32931-2015.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"/catalog/details/0e231a12-3d19-4138-9ffb-b6f39d60f46b"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Инструкция по установке импорту профилей представлена </w:t>
      </w:r>
      <w:hyperlink r:id="rId2">
        <w:r>
          <w:rPr>
            <w:rStyle w:val="Hyperlink"/>
            <w:b w:val="false"/>
            <w:bCs w:val="false"/>
            <w:lang w:val="ru-RU"/>
          </w:rPr>
          <w:t>в статье справки</w:t>
        </w:r>
      </w:hyperlink>
      <w:r>
        <w:rPr>
          <w:b w:val="false"/>
          <w:bCs w:val="false"/>
          <w:lang w:val="ru-RU"/>
        </w:rPr>
        <w:t xml:space="preserve"> на </w:t>
      </w:r>
      <w:r>
        <w:rPr>
          <w:b w:val="false"/>
          <w:bCs w:val="false"/>
          <w:lang w:val="en-US"/>
        </w:rPr>
        <w:t>Tekla User Assistance.</w:t>
      </w:r>
      <w:r>
        <w:br w:type="page"/>
      </w:r>
    </w:p>
    <w:p>
      <w:pPr>
        <w:pStyle w:val="Heading2"/>
        <w:numPr>
          <w:ilvl w:val="1"/>
          <w:numId w:val="2"/>
        </w:numPr>
        <w:bidi w:val="0"/>
        <w:spacing w:before="0" w:after="120"/>
        <w:ind w:hanging="0" w:start="0"/>
        <w:jc w:val="start"/>
        <w:rPr/>
      </w:pPr>
      <w:r>
        <w:rPr>
          <w:lang w:val="en-US"/>
        </w:rPr>
        <w:t>2</w:t>
      </w:r>
      <w:r>
        <w:rPr/>
        <w:t>. Установка компонентов</w:t>
      </w:r>
    </w:p>
    <w:p>
      <w:pPr>
        <w:pStyle w:val="BodyText"/>
        <w:bidi w:val="0"/>
        <w:jc w:val="start"/>
        <w:rPr>
          <w:lang w:val="ru-RU"/>
        </w:rPr>
      </w:pPr>
      <w:r>
        <w:rPr>
          <w:lang w:val="ru-RU"/>
        </w:rPr>
        <w:t>Компонент</w:t>
      </w:r>
      <w:r>
        <w:rPr>
          <w:lang w:val="ru-RU"/>
        </w:rPr>
        <w:t>ы</w:t>
      </w:r>
      <w:r>
        <w:rPr>
          <w:lang w:val="ru-RU"/>
        </w:rPr>
        <w:t xml:space="preserve"> представляет собой файл</w:t>
      </w:r>
      <w:r>
        <w:rPr>
          <w:lang w:val="ru-RU"/>
        </w:rPr>
        <w:t>ы</w:t>
      </w:r>
      <w:r>
        <w:rPr>
          <w:lang w:val="ru-RU"/>
        </w:rPr>
        <w:t xml:space="preserve"> в формате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 xml:space="preserve">uel </w:t>
      </w:r>
      <w:r>
        <w:rPr>
          <w:b w:val="false"/>
          <w:bCs w:val="false"/>
          <w:lang w:val="ru-RU"/>
        </w:rPr>
        <w:t xml:space="preserve">и </w:t>
      </w:r>
      <w:r>
        <w:rPr>
          <w:b w:val="false"/>
          <w:bCs w:val="false"/>
          <w:lang w:val="ru-RU"/>
        </w:rPr>
        <w:t>прилагающиеся к ним</w:t>
      </w:r>
      <w:r>
        <w:rPr>
          <w:b w:val="false"/>
          <w:bCs w:val="false"/>
          <w:lang w:val="ru-RU"/>
        </w:rPr>
        <w:t xml:space="preserve"> таблицы данных в формате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 xml:space="preserve">dat. </w:t>
      </w:r>
    </w:p>
    <w:p>
      <w:pPr>
        <w:pStyle w:val="BodyText"/>
        <w:bidi w:val="0"/>
        <w:jc w:val="start"/>
        <w:rPr>
          <w:lang w:val="ru-RU"/>
        </w:rPr>
      </w:pPr>
      <w:r>
        <w:rPr>
          <w:lang w:val="ru-RU"/>
        </w:rPr>
        <w:drawing>
          <wp:inline distT="0" distB="0" distL="0" distR="0">
            <wp:extent cx="2762250" cy="2330450"/>
            <wp:effectExtent l="0" t="0" r="0" b="0"/>
            <wp:docPr id="1" name="Изображение9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9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>Процедура установки включает в себя следующие шаги:</w:t>
      </w:r>
    </w:p>
    <w:p>
      <w:pPr>
        <w:pStyle w:val="BodyText"/>
        <w:numPr>
          <w:ilvl w:val="0"/>
          <w:numId w:val="5"/>
        </w:numPr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Поместить файлы с расширением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>dat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 xml:space="preserve">в корень папки вашей текущий модели (рядом с файлом модели с расширением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>db1</w:t>
      </w:r>
      <w:r>
        <w:rPr>
          <w:b w:val="false"/>
          <w:bCs w:val="false"/>
          <w:lang w:val="ru-RU"/>
        </w:rPr>
        <w:t xml:space="preserve">) или в папку </w:t>
      </w:r>
      <w:r>
        <w:rPr>
          <w:b/>
          <w:bCs/>
          <w:lang w:val="ru-RU"/>
        </w:rPr>
        <w:t xml:space="preserve">CustomComponentDialogFiles </w:t>
      </w:r>
      <w:r>
        <w:rPr>
          <w:b w:val="false"/>
          <w:bCs w:val="false"/>
          <w:lang w:val="ru-RU"/>
        </w:rPr>
        <w:t>внутри папки текущей модели.</w:t>
      </w:r>
    </w:p>
    <w:p>
      <w:pPr>
        <w:pStyle w:val="BodyText"/>
        <w:numPr>
          <w:ilvl w:val="0"/>
          <w:numId w:val="5"/>
        </w:numPr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Импортировать сами компоненты. Для этого (1) открываем панель «Приложения и компоненты» и (2) заходим в меню и (3) выбираем пункт «Импротировать пользовательский компонент», далее указываем </w:t>
      </w:r>
      <w:r>
        <w:rPr>
          <w:b/>
          <w:bCs/>
          <w:lang w:val="en-US"/>
        </w:rPr>
        <w:t xml:space="preserve">.uel </w:t>
      </w:r>
      <w:r>
        <w:rPr>
          <w:b w:val="false"/>
          <w:bCs w:val="false"/>
          <w:lang w:val="ru-RU"/>
        </w:rPr>
        <w:t>файл компонента и компонент установлен</w:t>
      </w:r>
    </w:p>
    <w:p>
      <w:pPr>
        <w:pStyle w:val="BodyText"/>
        <w:numPr>
          <w:ilvl w:val="0"/>
          <w:numId w:val="0"/>
        </w:numPr>
        <w:bidi w:val="0"/>
        <w:ind w:hanging="0" w:start="720"/>
        <w:jc w:val="start"/>
        <w:rPr>
          <w:lang w:val="ru-RU"/>
        </w:rPr>
      </w:pPr>
      <w:r>
        <w:rPr/>
        <w:drawing>
          <wp:inline distT="0" distB="0" distL="0" distR="0">
            <wp:extent cx="3306445" cy="3016250"/>
            <wp:effectExtent l="0" t="0" r="0" b="0"/>
            <wp:docPr id="2" name="Изображение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4"/>
              <w:bidi w:val="0"/>
              <w:jc w:val="star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⚠️ </w:t>
            </w:r>
            <w:r>
              <w:rPr>
                <w:rFonts w:ascii="Times New Roman" w:hAnsi="Times New Roman"/>
                <w:lang w:val="ru-RU"/>
              </w:rPr>
              <w:t>Компоненты устанавливаются в текущую модель. При создании новой модели процедуру нужно будет повторить. Для повторного использования компонентов без их повторного импорта в модель можно воспользоваться шаблоном модели. Создание шаблона рассмотрено далее.</w:t>
            </w:r>
          </w:p>
        </w:tc>
      </w:tr>
    </w:tbl>
    <w:p>
      <w:pPr>
        <w:pStyle w:val="BodyText"/>
        <w:bidi w:val="0"/>
        <w:jc w:val="star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/>
      </w:pPr>
      <w:r>
        <w:rPr/>
        <w:t>2.1. Создание шаблона модели</w:t>
      </w:r>
    </w:p>
    <w:p>
      <w:pPr>
        <w:pStyle w:val="BodyText"/>
        <w:bidi w:val="0"/>
        <w:jc w:val="start"/>
        <w:rPr/>
      </w:pPr>
      <w:r>
        <w:rPr/>
        <w:t>Создание шаблона происходит в следующем порядке:</w:t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>Создаем новую однопользовательскую модель с нужным нам шаблоном</w:t>
      </w:r>
      <w:r>
        <w:rPr/>
        <w:drawing>
          <wp:inline distT="0" distB="0" distL="0" distR="0">
            <wp:extent cx="5585460" cy="3176270"/>
            <wp:effectExtent l="0" t="0" r="0" b="0"/>
            <wp:docPr id="3" name="Изображение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 titl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460" cy="317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>Импортируем в новую модель, если это требуется, сортаменты(см. п. 1.1.) и устанавливаем компоненты (см. п. 2)</w:t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 xml:space="preserve">Сохраняем модель, как шаблон модели.  В диалоговом окне проставляем все флажки, обязательно должны быть выбраны </w:t>
      </w:r>
      <w:r>
        <w:rPr>
          <w:b/>
          <w:bCs/>
          <w:lang w:val="ru-RU"/>
        </w:rPr>
        <w:t>«Компоненты и эскизы»</w:t>
      </w:r>
      <w:r>
        <w:rPr>
          <w:lang w:val="ru-RU"/>
        </w:rPr>
        <w:t>, «</w:t>
      </w:r>
      <w:r>
        <w:rPr>
          <w:b/>
          <w:bCs/>
          <w:lang w:val="ru-RU"/>
        </w:rPr>
        <w:t xml:space="preserve">CustomComponentDialogFiles» и «Сортаменты». </w:t>
      </w:r>
      <w:r>
        <w:rPr>
          <w:b w:val="false"/>
          <w:bCs w:val="false"/>
          <w:lang w:val="ru-RU"/>
        </w:rPr>
        <w:t>Далее</w:t>
      </w:r>
      <w:r>
        <w:rPr>
          <w:b/>
          <w:bCs/>
          <w:lang w:val="ru-RU"/>
        </w:rPr>
        <w:t xml:space="preserve"> </w:t>
      </w:r>
      <w:r>
        <w:rPr>
          <w:b w:val="false"/>
          <w:bCs w:val="false"/>
          <w:lang w:val="ru-RU"/>
        </w:rPr>
        <w:t xml:space="preserve">нажимаем ОК и наш шаблон модели готов. </w:t>
      </w:r>
      <w:r>
        <w:rPr/>
        <w:drawing>
          <wp:inline distT="0" distB="0" distL="0" distR="0">
            <wp:extent cx="5625465" cy="3089275"/>
            <wp:effectExtent l="0" t="0" r="0" b="0"/>
            <wp:docPr id="4" name="Изображение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 titl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465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>Для использования компонентов теперь достаточно при создании модели указать шаблон, который содержит нужные сортаменты и компоненты</w:t>
      </w:r>
      <w:r>
        <w:rPr/>
        <w:drawing>
          <wp:inline distT="0" distB="0" distL="0" distR="0">
            <wp:extent cx="5619750" cy="2376805"/>
            <wp:effectExtent l="0" t="0" r="0" b="0"/>
            <wp:docPr id="5" name="Изображение5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 titl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numPr>
          <w:ilvl w:val="1"/>
          <w:numId w:val="2"/>
        </w:numPr>
        <w:bidi w:val="0"/>
        <w:ind w:hanging="0" w:start="0"/>
        <w:jc w:val="start"/>
        <w:rPr/>
      </w:pPr>
      <w:r>
        <w:rPr/>
        <w:t xml:space="preserve">3. </w:t>
      </w:r>
      <w:r>
        <w:rPr>
          <w:lang w:val="ru-RU"/>
        </w:rPr>
        <w:t>Использование компонентов.</w:t>
      </w:r>
    </w:p>
    <w:p>
      <w:pPr>
        <w:pStyle w:val="Heading3"/>
        <w:numPr>
          <w:ilvl w:val="2"/>
          <w:numId w:val="2"/>
        </w:numPr>
        <w:rPr/>
      </w:pPr>
      <w:r>
        <w:rPr/>
        <w:t>Вставка компонента</w:t>
      </w:r>
    </w:p>
    <w:p>
      <w:pPr>
        <w:pStyle w:val="Normal"/>
        <w:numPr>
          <w:ilvl w:val="2"/>
          <w:numId w:val="2"/>
        </w:numPr>
        <w:rPr/>
      </w:pPr>
      <w:r>
        <w:rPr/>
        <w:t>Компонент колонны создается следующим образом:</w:t>
      </w:r>
    </w:p>
    <w:p>
      <w:pPr>
        <w:pStyle w:val="Normal"/>
        <w:numPr>
          <w:ilvl w:val="2"/>
          <w:numId w:val="2"/>
        </w:numPr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1893570"/>
            <wp:effectExtent l="0" t="0" r="0" b="0"/>
            <wp:wrapSquare wrapText="largest"/>
            <wp:docPr id="6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2"/>
          <w:numId w:val="2"/>
        </w:numPr>
        <w:rPr>
          <w:lang w:val="en-US"/>
        </w:rPr>
      </w:pPr>
      <w:r>
        <w:rPr>
          <w:lang w:val="en-US"/>
        </w:rPr>
        <w:t xml:space="preserve">1. </w:t>
      </w:r>
      <w:r>
        <w:rPr>
          <w:lang w:val="ru-RU"/>
        </w:rPr>
        <w:t>Выбираем компонент на панели «Приложения и компоненты»</w:t>
      </w:r>
    </w:p>
    <w:p>
      <w:pPr>
        <w:pStyle w:val="Normal"/>
        <w:numPr>
          <w:ilvl w:val="2"/>
          <w:numId w:val="2"/>
        </w:numPr>
        <w:rPr>
          <w:lang w:val="en-US"/>
        </w:rPr>
      </w:pPr>
      <w:r>
        <w:rPr>
          <w:lang w:val="ru-RU"/>
        </w:rPr>
        <w:t xml:space="preserve">2. </w:t>
      </w:r>
      <w:r>
        <w:rPr>
          <w:lang w:val="ru-RU"/>
        </w:rPr>
        <w:t>Указываем первую точку вставки.</w:t>
      </w:r>
    </w:p>
    <w:p>
      <w:pPr>
        <w:pStyle w:val="Normal"/>
        <w:numPr>
          <w:ilvl w:val="2"/>
          <w:numId w:val="2"/>
        </w:numPr>
        <w:rPr>
          <w:lang w:val="en-US"/>
        </w:rPr>
      </w:pPr>
      <w:r>
        <w:rPr>
          <w:lang w:val="ru-RU"/>
        </w:rPr>
        <w:t xml:space="preserve">3. </w:t>
      </w:r>
      <w:r>
        <w:rPr>
          <w:lang w:val="ru-RU"/>
        </w:rPr>
        <w:t>Указываем вторую точку вставки.</w:t>
      </w:r>
    </w:p>
    <w:p>
      <w:pPr>
        <w:pStyle w:val="Normal"/>
        <w:numPr>
          <w:ilvl w:val="2"/>
          <w:numId w:val="2"/>
        </w:numPr>
        <w:rPr>
          <w:lang w:val="ru-RU"/>
        </w:rPr>
      </w:pPr>
      <w:r>
        <w:rPr>
          <w:lang w:val="ru-RU"/>
        </w:rPr>
        <w:t xml:space="preserve">4. Через свойства компонента настраиваем сечение ригеля. </w:t>
      </w:r>
    </w:p>
    <w:p>
      <w:pPr>
        <w:pStyle w:val="Normal"/>
        <w:numPr>
          <w:ilvl w:val="2"/>
          <w:numId w:val="2"/>
        </w:numPr>
        <w:rPr>
          <w:lang w:val="ru-RU"/>
        </w:rPr>
      </w:pPr>
      <w:r>
        <w:rPr>
          <w:lang w:val="ru-RU"/>
        </w:rPr>
        <w:drawing>
          <wp:inline distT="0" distB="0" distL="0" distR="0">
            <wp:extent cx="3467100" cy="2444750"/>
            <wp:effectExtent l="0" t="0" r="0" b="0"/>
            <wp:docPr id="7" name="Изображение10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10" descr="" titl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2"/>
          <w:numId w:val="2"/>
        </w:numPr>
        <w:rPr>
          <w:lang w:val="ru-RU"/>
        </w:rPr>
      </w:pPr>
      <w:r>
        <w:rPr>
          <w:lang w:val="ru-RU"/>
        </w:rPr>
        <w:t>В зависимости от типа ригеля свойства могут незначительно отличаться.</w:t>
      </w:r>
    </w:p>
    <w:p>
      <w:pPr>
        <w:pStyle w:val="Heading3"/>
        <w:numPr>
          <w:ilvl w:val="2"/>
          <w:numId w:val="2"/>
        </w:numPr>
        <w:rPr>
          <w:lang w:val="ru-RU"/>
        </w:rPr>
      </w:pPr>
      <w:r>
        <w:rPr>
          <w:lang w:val="ru-RU"/>
        </w:rPr>
        <w:t>Изменение положения ригеля.</w:t>
      </w:r>
    </w:p>
    <w:p>
      <w:pPr>
        <w:pStyle w:val="BodyText"/>
        <w:rPr/>
      </w:pPr>
      <w:r>
        <w:rPr>
          <w:lang w:val="ru-RU"/>
        </w:rPr>
        <w:t>Р</w:t>
      </w:r>
      <w:r>
        <w:rPr>
          <w:lang w:val="ru-RU"/>
        </w:rPr>
        <w:t>игель имеет привязку по верхней полке к опорным точкам, однако положение относительно опорной линии можно регулировать на второй вкладке компонента.</w:t>
      </w:r>
    </w:p>
    <w:p>
      <w:pPr>
        <w:pStyle w:val="BodyText"/>
        <w:rPr/>
      </w:pPr>
      <w:r>
        <w:rPr>
          <w:lang w:val="ru-RU"/>
        </w:rPr>
        <w:drawing>
          <wp:inline distT="0" distB="0" distL="0" distR="0">
            <wp:extent cx="3429000" cy="2311400"/>
            <wp:effectExtent l="0" t="0" r="0" b="0"/>
            <wp:docPr id="8" name="Изображение6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 titl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/>
      </w:pPr>
      <w:r>
        <w:rPr>
          <w:lang w:val="ru-RU"/>
        </w:rPr>
        <w:t>Изменить опорную линию можно путем перемещения опорных точек компонента.</w:t>
      </w:r>
    </w:p>
    <w:p>
      <w:pPr>
        <w:pStyle w:val="BodyText"/>
        <w:rPr/>
      </w:pPr>
      <w:r>
        <w:rPr>
          <w:lang w:val="ru-RU"/>
        </w:rPr>
        <w:drawing>
          <wp:inline distT="0" distB="0" distL="0" distR="0">
            <wp:extent cx="6120130" cy="3993515"/>
            <wp:effectExtent l="0" t="0" r="0" b="0"/>
            <wp:docPr id="9" name="Изображение7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 descr="" titl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0" w:after="140"/>
        <w:rPr/>
      </w:pPr>
      <w:r>
        <w:rPr>
          <w:lang w:val="ru-RU"/>
        </w:rPr>
        <w:t xml:space="preserve">При превышении расстояния между опорными точками компонета величины </w:t>
      </w:r>
      <w:r>
        <w:rPr>
          <w:lang w:val="en-US"/>
        </w:rPr>
        <w:t xml:space="preserve">Lmax </w:t>
      </w:r>
      <w:r>
        <w:rPr>
          <w:lang w:val="ru-RU"/>
        </w:rPr>
        <w:t xml:space="preserve">из альбома типовых решений ригель будет создаваться со стороны начальной точки, суммарная длина ригеля составит </w:t>
      </w:r>
      <w:r>
        <w:rPr>
          <w:lang w:val="en-US"/>
        </w:rPr>
        <w:t>Lmax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12"/>
    <w:next w:val="BodyText"/>
    <w:qFormat/>
    <w:pPr>
      <w:numPr>
        <w:ilvl w:val="0"/>
        <w:numId w:val="2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12"/>
    <w:next w:val="BodyText"/>
    <w:qFormat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12"/>
    <w:next w:val="BodyText"/>
    <w:qFormat/>
    <w:pPr>
      <w:numPr>
        <w:ilvl w:val="2"/>
        <w:numId w:val="2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Style12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Style11">
    <w:name w:val="Символ нумерации"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>
      <w:rFonts w:ascii="Times New Roman" w:hAnsi="Times New Roma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Style12"/>
    <w:next w:val="BodyText"/>
    <w:qFormat/>
    <w:pPr>
      <w:jc w:val="center"/>
    </w:pPr>
    <w:rPr>
      <w:b/>
      <w:bCs/>
      <w:sz w:val="56"/>
      <w:szCs w:val="56"/>
    </w:rPr>
  </w:style>
  <w:style w:type="paragraph" w:styleId="Style14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upport.tekla.com/ru/doc/tekla-structures/2024/mod_catalogs_exporting_and_importing_profiles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LibreOffice/24.2.0.3$Windows_X86_64 LibreOffice_project/da48488a73ddd66ea24cf16bbc4f7b9c08e9bea1</Application>
  <AppVersion>15.0000</AppVersion>
  <Pages>5</Pages>
  <Words>490</Words>
  <Characters>3072</Characters>
  <CharactersWithSpaces>3505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2024-04-18T15:40:27Z</dcterms:created>
  <dc:creator/>
  <dc:description/>
  <dc:language>ru-RU</dc:language>
  <cp:lastModifiedBy/>
  <dcterms:modified xsi:type="dcterms:W3CDTF">2024-05-31T17:38:52Z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